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40" w:before="0" w:after="0"/>
        <w:jc w:val="start"/>
        <w:rPr>
          <w:b/>
          <w:bCs/>
          <w:highlight w:val="none"/>
          <w:shd w:fill="auto" w:val="clear"/>
        </w:rPr>
      </w:pPr>
      <w:r>
        <w:rPr>
          <w:b/>
          <w:bCs/>
          <w:shd w:fill="auto" w:val="clear"/>
        </w:rPr>
        <w:t>Wasser und Arbeit sind Menschenrechte</w:t>
      </w:r>
    </w:p>
    <w:p>
      <w:pPr>
        <w:pStyle w:val="BodyText"/>
        <w:bidi w:val="0"/>
        <w:spacing w:lineRule="auto" w:line="240" w:before="0" w:after="0"/>
        <w:jc w:val="both"/>
        <w:rPr/>
      </w:pPr>
      <w:r>
        <w:rPr/>
        <w:t>Der Landstrich Biafra im Südosten Nigerias, die Heimat von Pastor Dr. Lotanna Olisaemeka,  wurde durch den Biafra Genozid von 1967-1970 mit großem Leid überzogen. Über 2.000.000 Menschen starben durch den Krieg, durch Hunger und Seuchen. Die Benachteiligung der Bevölkerung dort dauert an. Zwar ist das Land reich an Bodenschätzen, insbesondere Erdöl, aber es profitieren nicht die Bevölkerung sondern die Öl-Multis und sie hinterlassen außerdem verschmutzte Flüsse. So ist Trinkwasser ein Luxus und ein Großteil der Bevölkerung lebt in Armut.</w:t>
      </w:r>
    </w:p>
    <w:p>
      <w:pPr>
        <w:pStyle w:val="BodyText"/>
        <w:bidi w:val="0"/>
        <w:spacing w:lineRule="auto" w:line="240" w:before="0" w:after="0"/>
        <w:jc w:val="both"/>
        <w:rPr/>
      </w:pPr>
      <w:r>
        <w:rPr/>
      </w:r>
    </w:p>
    <w:p>
      <w:pPr>
        <w:pStyle w:val="BodyText"/>
        <w:bidi w:val="0"/>
        <w:spacing w:lineRule="auto" w:line="240" w:before="0" w:after="0"/>
        <w:jc w:val="both"/>
        <w:rPr/>
      </w:pPr>
      <w:r>
        <w:rPr/>
        <w:t xml:space="preserve">Pastor Lotanna Olisaemeka ist zunächst röm.-kath. Priester in der Erzdiözese Onitcha, Anambra State, Nigeria. Durch seine Tätigkeit in unterschiedlichen Pfarreien kannte er die Probleme, insbesondere die Arbeitslosigkeit der Jugend und der Unterernährung der Ältesten.  Seine Vision war, Wasser und Arbeit für die Bevölkerung in der Umgebung zu bringen. Dazu gründete er zusammen mit Bekannten in seinem Heimatdorf Umuoji 2018 den gemeinnützigen Verein AFRICARE OF GOLDEN HEARTS inc. (AFRIGOH)  mit dem Ziel, Hilfe zur Selbsthilfe zu organisieren. Mit Weitblick gelang ihm die Entsendung in das wohlhabende Deutschland, wo er zunächst mittels eines Stipendiums die Promotion erlangte. Die Kooperation der beiden röm.-kath. Erzbistümer Hamburg und Onitcha bescherte ihm eine Stelle im Westen Hamburgs, wo er einen Freundeskreis mit Interesse an einem Wasserprojekt gründete.  </w:t>
      </w:r>
    </w:p>
    <w:p>
      <w:pPr>
        <w:pStyle w:val="BodyText"/>
        <w:bidi w:val="0"/>
        <w:spacing w:lineRule="auto" w:line="240" w:before="0" w:after="0"/>
        <w:jc w:val="start"/>
        <w:rPr/>
      </w:pPr>
      <w:r>
        <w:rPr/>
      </w:r>
    </w:p>
    <w:p>
      <w:pPr>
        <w:pStyle w:val="BodyText"/>
        <w:bidi w:val="0"/>
        <w:spacing w:lineRule="auto" w:line="240" w:before="0" w:after="0"/>
        <w:jc w:val="start"/>
        <w:rPr/>
      </w:pPr>
      <w:r>
        <w:rPr>
          <w:b/>
          <w:bCs/>
        </w:rPr>
        <w:t>Organisation der Projektarbeit</w:t>
      </w:r>
    </w:p>
    <w:p>
      <w:pPr>
        <w:pStyle w:val="BodyText"/>
        <w:bidi w:val="0"/>
        <w:spacing w:lineRule="auto" w:line="240" w:before="0" w:after="0"/>
        <w:jc w:val="both"/>
        <w:rPr/>
      </w:pPr>
      <w:r>
        <w:rPr/>
        <w:t>Mit Spenden von Pfarrei-Mtgliedern konnte zwar ein Gelände nahe des Heimatdorfes von Pastor Dr. Lotanna erworben und ein Wasserbrunnen darin abgeteuft werden. Bald wurde jedoch klar, dass eine Organisation dahinter stehen müsste, die Spendenbescheinigungen ausstellen und weitere institutionelle Unterstützung akquirieren könnte. So wurde 2019 der gemeinnützige Verein AFRIGOH Deutschland e.V. gegründet, namensgleich mit dem zuvor in Umuoji gegründeten Partnerverein. Der Verein wird von 30 Mitgliedern und ca. 100 Förderern unterstützt, auch mit erheblicher Zuwendung von privaten Stiftungen und der deutschen Bundesregierung. Die Arbeitsteilung zwischen den befreundete Vereinen sieht die Projektleitung durch den Nigerianischen Verein und die Mittelakquise durch den deutschen Verein vor.</w:t>
      </w:r>
    </w:p>
    <w:p>
      <w:pPr>
        <w:pStyle w:val="BodyText"/>
        <w:bidi w:val="0"/>
        <w:spacing w:lineRule="auto" w:line="240" w:before="0" w:after="0"/>
        <w:jc w:val="start"/>
        <w:rPr/>
      </w:pPr>
      <w:r>
        <w:rPr/>
      </w:r>
    </w:p>
    <w:p>
      <w:pPr>
        <w:pStyle w:val="BodyText"/>
        <w:bidi w:val="0"/>
        <w:spacing w:lineRule="auto" w:line="240" w:before="0" w:after="0"/>
        <w:jc w:val="both"/>
        <w:rPr/>
      </w:pPr>
      <w:r>
        <w:rPr/>
        <w:t xml:space="preserve">Der Nigerianische Verein, im folgenden „Südpartner“ genannt, ist vertreten durch den Vorsitzenden Dr. Lotanna Olisaemeka und der Sekretärin / Prokuristin </w:t>
      </w:r>
      <w:r>
        <w:rPr>
          <w:rFonts w:cs="Calibri"/>
          <w:b w:val="false"/>
          <w:bCs w:val="false"/>
          <w:i w:val="false"/>
          <w:color w:val="000000"/>
          <w:sz w:val="24"/>
          <w:szCs w:val="24"/>
        </w:rPr>
        <w:t>Grace Chinelo Ndulue. Der Verein in Hamburg ist vertreten durch den Vorsitzenden Adam Hodgson und die Stellvertreterin Ruth Maria Bousonville.  Der Verein selbst besitzt kein Vermögen, sondern akquiriert auf Grund von einzelnen Projektdefinitionen die Mittel und stellt sie auf Anforderung dem Südpartner zur Verfügung. Der Südpartner ist verantwortlich für die Projektdurchführung und den Nachweis der Ausgaben. Die Projekabrechnung mit den Geldgebern obliegt dem Verein. Projektleiter ist Dr. Lotanna Olisaemeka selbst, der in regelmäßigen Abständen vor Ort ist.</w:t>
      </w:r>
    </w:p>
    <w:p>
      <w:pPr>
        <w:pStyle w:val="BodyText"/>
        <w:bidi w:val="0"/>
        <w:spacing w:lineRule="auto" w:line="240" w:before="0" w:after="0"/>
        <w:jc w:val="both"/>
        <w:rPr>
          <w:rFonts w:ascii="Liberation Serif" w:hAnsi="Liberation Serif" w:cs="Calibri"/>
          <w:b w:val="false"/>
          <w:bCs w:val="false"/>
          <w:i w:val="false"/>
          <w:i w:val="false"/>
          <w:color w:val="000000"/>
          <w:sz w:val="24"/>
          <w:szCs w:val="24"/>
        </w:rPr>
      </w:pPr>
      <w:r>
        <w:rPr>
          <w:rFonts w:cs="Calibri"/>
          <w:b w:val="false"/>
          <w:bCs w:val="false"/>
          <w:i w:val="false"/>
          <w:color w:val="000000"/>
          <w:sz w:val="24"/>
          <w:szCs w:val="24"/>
        </w:rPr>
      </w:r>
    </w:p>
    <w:p>
      <w:pPr>
        <w:pStyle w:val="BodyText"/>
        <w:bidi w:val="0"/>
        <w:spacing w:lineRule="auto" w:line="240" w:before="0" w:after="0"/>
        <w:jc w:val="both"/>
        <w:rPr/>
      </w:pPr>
      <w:r>
        <w:rPr>
          <w:rFonts w:cs="Calibri"/>
          <w:b w:val="false"/>
          <w:bCs w:val="false"/>
          <w:i w:val="false"/>
          <w:color w:val="000000"/>
          <w:sz w:val="24"/>
          <w:szCs w:val="24"/>
        </w:rPr>
        <w:t>Eine wesentliche Voraussetzung für ein erfolgreiches Entwicklungsprojekt war gegeben, da in Deutschland und beim Südpartner jeweils bekannte Vertrauenspersonen mit Kompetenz tätig waren. Hier folgt nun der Bericht des bis Mitte des Jahres 2026 erreichten Projektstandes.</w:t>
      </w:r>
    </w:p>
    <w:p>
      <w:pPr>
        <w:pStyle w:val="BodyText"/>
        <w:bidi w:val="0"/>
        <w:spacing w:lineRule="auto" w:line="240" w:before="0" w:after="0"/>
        <w:jc w:val="start"/>
        <w:rPr/>
      </w:pPr>
      <w:r>
        <w:rPr/>
      </w:r>
    </w:p>
    <w:p>
      <w:pPr>
        <w:pStyle w:val="BodyText"/>
        <w:bidi w:val="0"/>
        <w:spacing w:lineRule="auto" w:line="240" w:before="0" w:after="0"/>
        <w:jc w:val="both"/>
        <w:rPr/>
      </w:pPr>
      <w:r>
        <w:rPr>
          <w:b/>
          <w:bCs/>
        </w:rPr>
        <w:t>Grundstruktur</w:t>
        <w:br/>
      </w:r>
      <w:r>
        <w:rPr/>
        <w:t xml:space="preserve">Das erworbene Gelände von 4000 qm „CAMPUS“ genannt, musste aus Sicherheitsgründen ummauert werden. Neben dem Eingangstor wurden </w:t>
      </w:r>
      <w:r>
        <w:rPr>
          <w:b w:val="false"/>
          <w:bCs w:val="false"/>
          <w:color w:val="auto"/>
        </w:rPr>
        <w:t>Empfangs- und Bürogebäude</w:t>
      </w:r>
      <w:r>
        <w:rPr/>
        <w:t xml:space="preserve"> für die Verwaltung samt Ausstattung sowie ein Maschinenhaus für das Stromaggregat erstellt. Es wurden fünf Mitarbeiter fest angestellt als Manager, Projektbearbeiterin, Techniker und Wachleute in zwei Schichten.</w:t>
      </w:r>
    </w:p>
    <w:p>
      <w:pPr>
        <w:pStyle w:val="BodyText"/>
        <w:bidi w:val="0"/>
        <w:spacing w:lineRule="auto" w:line="240" w:before="0" w:after="0"/>
        <w:jc w:val="start"/>
        <w:rPr/>
      </w:pPr>
      <w:r>
        <w:rPr/>
      </w:r>
    </w:p>
    <w:p>
      <w:pPr>
        <w:pStyle w:val="BodyText"/>
        <w:bidi w:val="0"/>
        <w:spacing w:lineRule="auto" w:line="240" w:before="0" w:after="0"/>
        <w:jc w:val="start"/>
        <w:rPr>
          <w:b/>
          <w:bCs/>
        </w:rPr>
      </w:pPr>
      <w:r>
        <w:rPr>
          <w:b/>
          <w:bCs/>
        </w:rPr>
      </w:r>
    </w:p>
    <w:p>
      <w:pPr>
        <w:pStyle w:val="BodyText"/>
        <w:bidi w:val="0"/>
        <w:spacing w:lineRule="auto" w:line="240" w:before="0" w:after="0"/>
        <w:jc w:val="start"/>
        <w:rPr/>
      </w:pPr>
      <w:r>
        <w:rPr/>
      </w:r>
    </w:p>
    <w:p>
      <w:pPr>
        <w:pStyle w:val="BodyText"/>
        <w:bidi w:val="0"/>
        <w:spacing w:lineRule="auto" w:line="240" w:before="0" w:after="0"/>
        <w:jc w:val="both"/>
        <w:rPr/>
      </w:pPr>
      <w:r>
        <w:rPr/>
        <w:t>Eine Tiefenpumpe wurde am Brunnen installiert, die in der Lage war, 5 m</w:t>
      </w:r>
      <w:r>
        <w:rPr>
          <w:vertAlign w:val="superscript"/>
        </w:rPr>
        <w:t>3</w:t>
      </w:r>
      <w:r>
        <w:rPr/>
        <w:t>/h Wasser aus 180m zu fördern. Als Speicher wurde ein einfacher Wasserturm ca. 10m Höhe errichtet. Das Wasser war als nachhaltig zur Verfügung stehend erachtet mit einer guten Qualität, jedoch mit PH 4,9 etwas zu sauer, um von der Gesundheitsbehörde NAFDAC  als genormtes Trinkwasser zu gelten. Die Pumpe spendierte das Unternehmen</w:t>
      </w:r>
      <w:r>
        <w:rPr>
          <w:color w:val="auto"/>
        </w:rPr>
        <w:t xml:space="preserve"> </w:t>
      </w:r>
      <w:r>
        <w:rPr>
          <w:rStyle w:val="Hyperlink"/>
          <w:color w:val="000000"/>
          <w:u w:val="none"/>
          <w:shd w:fill="auto" w:val="clear"/>
        </w:rPr>
        <w:t>KSB Frankental</w:t>
      </w:r>
      <w:r>
        <w:rPr>
          <w:color w:val="000000"/>
          <w:u w:val="none"/>
          <w:shd w:fill="auto" w:val="clear"/>
        </w:rPr>
        <w:t>,</w:t>
      </w:r>
      <w:r>
        <w:rPr>
          <w:color w:val="auto"/>
        </w:rPr>
        <w:t xml:space="preserve"> das Diesel getriebene Stromerzeugungsaggregat ein Mitarbeiterkonsortium der Henkel AG. Die benötigte Stromerzeugung lieferte später eine auf mehreren Dächern installierte Photovoltaik Anlage, bedarfsweise ergänzt durch das Diesel-getriebene Stromaggregat.</w:t>
      </w:r>
    </w:p>
    <w:p>
      <w:pPr>
        <w:pStyle w:val="BodyText"/>
        <w:bidi w:val="0"/>
        <w:spacing w:lineRule="auto" w:line="240" w:before="0" w:after="0"/>
        <w:jc w:val="start"/>
        <w:rPr>
          <w:color w:val="auto"/>
        </w:rPr>
      </w:pPr>
      <w:r>
        <w:rPr>
          <w:color w:val="auto"/>
        </w:rPr>
      </w:r>
    </w:p>
    <w:p>
      <w:pPr>
        <w:pStyle w:val="BodyText"/>
        <w:bidi w:val="0"/>
        <w:spacing w:lineRule="auto" w:line="240" w:before="0" w:after="0"/>
        <w:jc w:val="start"/>
        <w:rPr/>
      </w:pPr>
      <w:r>
        <w:rPr>
          <w:color w:val="auto"/>
        </w:rPr>
        <w:t xml:space="preserve">Im ersten Projektschritt wurde für das Dorf kostenlos Wasser bereitgestellt. Im zweiten Schritt wurde eine Wasserfabrik gebaut um Umsatz und Arbeitsplätze zu generieren. </w:t>
      </w:r>
    </w:p>
    <w:p>
      <w:pPr>
        <w:pStyle w:val="BodyText"/>
        <w:bidi w:val="0"/>
        <w:spacing w:lineRule="auto" w:line="240" w:before="0" w:after="0"/>
        <w:jc w:val="start"/>
        <w:rPr>
          <w:color w:val="auto"/>
        </w:rPr>
      </w:pPr>
      <w:r>
        <w:rPr>
          <w:color w:val="auto"/>
        </w:rPr>
      </w:r>
    </w:p>
    <w:p>
      <w:pPr>
        <w:pStyle w:val="BodyText"/>
        <w:bidi w:val="0"/>
        <w:spacing w:lineRule="auto" w:line="240" w:before="0" w:after="0"/>
        <w:jc w:val="start"/>
        <w:rPr>
          <w:b/>
          <w:bCs/>
        </w:rPr>
      </w:pPr>
      <w:r>
        <w:rPr>
          <w:b/>
          <w:bCs/>
          <w:color w:val="auto"/>
        </w:rPr>
        <w:t>Wasser für das Dorf</w:t>
      </w:r>
    </w:p>
    <w:p>
      <w:pPr>
        <w:pStyle w:val="BodyText"/>
        <w:bidi w:val="0"/>
        <w:spacing w:lineRule="auto" w:line="240" w:before="0" w:after="0"/>
        <w:jc w:val="both"/>
        <w:rPr/>
      </w:pPr>
      <w:r>
        <w:rPr>
          <w:color w:val="auto"/>
        </w:rPr>
        <w:t>Ab dem Jahr 2021 konnte dann mehrmals pro Woche kostenlos sauberes Grundwasser für das Dorf bereitgestellt werden. Die Bewohner holen es an der Zapfstelle außerhalb der Mauer mit eigenen Kanistern  ab. Die Wasserqualität wurde als sehr gut empfunden und das Angebot wird gerne angenommen.</w:t>
      </w:r>
    </w:p>
    <w:p>
      <w:pPr>
        <w:pStyle w:val="BodyText"/>
        <w:bidi w:val="0"/>
        <w:spacing w:lineRule="auto" w:line="240" w:before="0" w:after="0"/>
        <w:jc w:val="start"/>
        <w:rPr>
          <w:color w:val="auto"/>
        </w:rPr>
      </w:pPr>
      <w:r>
        <w:rPr>
          <w:color w:val="auto"/>
        </w:rPr>
      </w:r>
    </w:p>
    <w:p>
      <w:pPr>
        <w:pStyle w:val="BodyText"/>
        <w:bidi w:val="0"/>
        <w:spacing w:lineRule="auto" w:line="240" w:before="0" w:after="0"/>
        <w:jc w:val="start"/>
        <w:rPr>
          <w:b/>
          <w:bCs/>
          <w:color w:val="auto"/>
        </w:rPr>
      </w:pPr>
      <w:r>
        <w:rPr>
          <w:b/>
          <w:bCs/>
          <w:color w:val="auto"/>
        </w:rPr>
        <w:t>Frauen Förderzentrum</w:t>
      </w:r>
    </w:p>
    <w:p>
      <w:pPr>
        <w:pStyle w:val="BodyText"/>
        <w:bidi w:val="0"/>
        <w:spacing w:lineRule="auto" w:line="240" w:before="0" w:after="0"/>
        <w:jc w:val="both"/>
        <w:rPr/>
      </w:pPr>
      <w:r>
        <w:rPr/>
        <w:t>Öffentliche Gelder sprudeln  nur an Institutionen, deren Glaubwürdigkeit nachgewiesen ist.</w:t>
      </w:r>
      <w:r>
        <w:rPr>
          <w:color w:val="auto"/>
        </w:rPr>
        <w:t xml:space="preserve">So musste zunächst ein kleines Projekt erfolgreich bearbeitet werden. Dafür wurde als Projekt „ein Frauen Förderzentrum“ definiert, bei dem Unterricht für die Dorfbevölkerung in „Frauenrechte“ und „Handwerkstechniken“ gegeben wurde. Die Inhalte wurden nach den 17 Nachhaltigkeitszielen der UNO mit dem Lehrkrankenhaus in Lagos erarbeitet. Dort arbeitet eine Schwägerin von Dr. Olisaemeka als Ärztin, der das Gesundheitswesen in ihrer Heimat am Herzen liegt. Im Ergebnis konnten ein Jahr lang Kurse mit einheimischen Lehrern in der indigenen Sprache Igbu abgehalten werden. </w:t>
      </w:r>
    </w:p>
    <w:p>
      <w:pPr>
        <w:pStyle w:val="BodyText"/>
        <w:bidi w:val="0"/>
        <w:spacing w:lineRule="auto" w:line="240" w:before="0" w:after="0"/>
        <w:jc w:val="both"/>
        <w:rPr>
          <w:color w:val="auto"/>
        </w:rPr>
      </w:pPr>
      <w:r>
        <w:rPr>
          <w:color w:val="auto"/>
        </w:rPr>
      </w:r>
    </w:p>
    <w:p>
      <w:pPr>
        <w:pStyle w:val="BodyText"/>
        <w:bidi w:val="0"/>
        <w:spacing w:lineRule="auto" w:line="240" w:before="0" w:after="0"/>
        <w:jc w:val="both"/>
        <w:rPr/>
      </w:pPr>
      <w:r>
        <w:rPr>
          <w:color w:val="auto"/>
        </w:rPr>
        <w:t>Als Unterrichtsraum diente das ausgebaute Untergeschoss des in Arbeit befindlichen Gebäudes der künftigen Wasserfabrik. Der Unterricht findet gewöhnlich an arbeitsfreien Tagen statt. Die meisten Schüler*innen sind Frauen, die ihre Kinder mitbringen. Dazu wurde eine englisch-sprachige internationale Kinderbibliothek mit Spenden aus Hamburg eingerichtet. Solange jedoch keine nachhaltigen Gelder für die Dozenten zur Verfügung stehen, ruht weitgehend der Schulungsbetrieb.</w:t>
      </w:r>
    </w:p>
    <w:p>
      <w:pPr>
        <w:pStyle w:val="BodyText"/>
        <w:bidi w:val="0"/>
        <w:spacing w:lineRule="auto" w:line="240" w:before="0" w:after="0"/>
        <w:jc w:val="start"/>
        <w:rPr>
          <w:color w:val="auto"/>
        </w:rPr>
      </w:pPr>
      <w:r>
        <w:rPr>
          <w:color w:val="auto"/>
        </w:rPr>
      </w:r>
    </w:p>
    <w:p>
      <w:pPr>
        <w:pStyle w:val="BodyText"/>
        <w:spacing w:before="0" w:after="0"/>
        <w:rPr>
          <w:b/>
          <w:bCs/>
        </w:rPr>
      </w:pPr>
      <w:r>
        <w:rPr>
          <w:b/>
          <w:bCs/>
        </w:rPr>
        <w:t>Wasserfabrik Umuoji</w:t>
      </w:r>
    </w:p>
    <w:p>
      <w:pPr>
        <w:pStyle w:val="BodyText"/>
        <w:spacing w:lineRule="auto" w:line="240" w:before="0" w:after="0"/>
        <w:jc w:val="both"/>
        <w:rPr/>
      </w:pPr>
      <w:r>
        <w:rPr>
          <w:color w:val="auto"/>
        </w:rPr>
        <w:t xml:space="preserve">Als nächstes Projekt wurde die Wasserfabrik in Angriff genommen. Ziel war es, Gebinde in Trinkwassser Qualität in den dort üblichen 0,5l Beuteln und  075l PET-Flaschen zu erstellen und zu vermarkten. Der Erlös soll sowohl die Herstellkosten wie auch die gesamten Betriebskosten des Campus decken und darüber hinaus künftig weitere Projekte ermöglichen. Es wurden also zwei Fertigungsstraßen installiert, eine zum Erstellen von Wasserbeuteln, die wesentlich für die Feldarbeit sind. Auf der zweiten Fertigungsstraße werden die PET-Flaschen abgefüllt. Um den Auflagen der Gesundheitsbehörde zur Wasserqualität zu genügen, wurden Stationen vorgesehen zum Filtern, den PH Wert anzupassen und am Ende der Fertigungsstraßen die Gebinde per UV zu desinfizieren. Ein LKW wird zur Auslieferung an die Märkte geleast. </w:t>
      </w:r>
      <w:r>
        <w:rPr/>
        <w:t xml:space="preserve"> </w:t>
      </w:r>
    </w:p>
    <w:p>
      <w:pPr>
        <w:pStyle w:val="BodyText"/>
        <w:bidi w:val="0"/>
        <w:spacing w:lineRule="auto" w:line="240" w:before="0" w:after="0"/>
        <w:jc w:val="both"/>
        <w:rPr/>
      </w:pPr>
      <w:r>
        <w:rPr/>
      </w:r>
    </w:p>
    <w:p>
      <w:pPr>
        <w:pStyle w:val="BodyText"/>
        <w:bidi w:val="0"/>
        <w:spacing w:lineRule="auto" w:line="240" w:before="0" w:after="0"/>
        <w:jc w:val="both"/>
        <w:rPr/>
      </w:pPr>
      <w:r>
        <w:rPr/>
        <w:t xml:space="preserve">Mit dieser Maßnahme entstehen insgesamt 20 Arbeitsplätze. Die Schulung der Mitarbeiter an der Flaschenstraße erfolgte währende der Regenzeit 2026, in welcher der Wasserbedarf gering ist und anderweitig externe Trainer verfügbar waren. Mittlerweile wird vor allem auf Lager produziert. </w:t>
      </w:r>
    </w:p>
    <w:p>
      <w:pPr>
        <w:pStyle w:val="BodyText"/>
        <w:bidi w:val="0"/>
        <w:spacing w:lineRule="auto" w:line="240" w:before="0" w:after="0"/>
        <w:jc w:val="start"/>
        <w:rPr/>
      </w:pPr>
      <w:r>
        <w:rPr/>
      </w:r>
    </w:p>
    <w:p>
      <w:pPr>
        <w:pStyle w:val="BodyText"/>
        <w:bidi w:val="0"/>
        <w:spacing w:lineRule="auto" w:line="240" w:before="0" w:after="0"/>
        <w:jc w:val="start"/>
        <w:rPr/>
      </w:pPr>
      <w:r>
        <w:rPr/>
      </w:r>
      <w:r>
        <w:br w:type="page"/>
      </w:r>
    </w:p>
    <w:p>
      <w:pPr>
        <w:pStyle w:val="BodyText"/>
        <w:bidi w:val="0"/>
        <w:spacing w:lineRule="auto" w:line="240" w:before="0" w:after="0"/>
        <w:jc w:val="start"/>
        <w:rPr>
          <w:b/>
          <w:bCs/>
        </w:rPr>
      </w:pPr>
      <w:r>
        <w:rPr>
          <w:b/>
          <w:bCs/>
          <w:color w:val="auto"/>
        </w:rPr>
        <w:t>Zivildienststelle</w:t>
      </w:r>
    </w:p>
    <w:p>
      <w:pPr>
        <w:pStyle w:val="BodyText"/>
        <w:bidi w:val="0"/>
        <w:spacing w:lineRule="auto" w:line="240" w:before="0" w:after="0"/>
        <w:jc w:val="both"/>
        <w:rPr/>
      </w:pPr>
      <w:r>
        <w:rPr>
          <w:b w:val="false"/>
          <w:bCs w:val="false"/>
          <w:color w:val="auto"/>
        </w:rPr>
        <w:t>Um weitere Arbeitskräfte zu bekommen, wurde der CAMPUS als Zivildienststelle angemeldet. Hochschulabsolventen in Nigeria müssen nach beendetem Studium einen einjährigen Zivildienst im Rahmen des „National Youth Service Corps NYSC“ leisten. Der Arbeitgeber leistet kostenlose Unterkunft und Verpflegung sowie ein Taschengeld. Dazu wurden im Haupthaus Wohnräume und Sanitäranlagen ausgebaut. Zur Verpflegung der „Corpser“ dient eine Gärtnerei, ein Fischteich und ein Geflügelbetrieb im Nachbargrundstück. Einige der Corpser wurden auch für die Arbeit in der Wasserfabrik geschult und dienstverpflichtet.</w:t>
      </w:r>
    </w:p>
    <w:p>
      <w:pPr>
        <w:pStyle w:val="BodyText"/>
        <w:bidi w:val="0"/>
        <w:spacing w:lineRule="auto" w:line="240" w:before="0" w:after="0"/>
        <w:jc w:val="start"/>
        <w:rPr/>
      </w:pPr>
      <w:r>
        <w:rPr/>
      </w:r>
    </w:p>
    <w:p>
      <w:pPr>
        <w:pStyle w:val="BodyText"/>
        <w:bidi w:val="0"/>
        <w:spacing w:lineRule="auto" w:line="240" w:before="0" w:after="0"/>
        <w:ind w:hanging="0" w:start="0" w:end="0"/>
        <w:jc w:val="start"/>
        <w:rPr>
          <w:b/>
          <w:bCs/>
          <w:color w:val="auto"/>
        </w:rPr>
      </w:pPr>
      <w:r>
        <w:rPr>
          <w:b/>
          <w:bCs/>
          <w:color w:val="auto"/>
        </w:rPr>
        <w:t>Mittel Akquise</w:t>
      </w:r>
    </w:p>
    <w:p>
      <w:pPr>
        <w:pStyle w:val="BodyText"/>
        <w:bidi w:val="0"/>
        <w:spacing w:lineRule="auto" w:line="240" w:before="0" w:after="0"/>
        <w:ind w:hanging="0" w:start="0" w:end="0"/>
        <w:jc w:val="start"/>
        <w:rPr>
          <w:b w:val="false"/>
          <w:bCs w:val="false"/>
          <w:color w:val="auto"/>
        </w:rPr>
      </w:pPr>
      <w:r>
        <w:rPr>
          <w:b w:val="false"/>
          <w:bCs w:val="false"/>
          <w:color w:val="auto"/>
        </w:rPr>
        <w:t>Folgende Institutionen haben sich an dem Projekt durch Bereitstellen finanzieller Mittel in hohem Maße beteiligt und so zum Gelingen des Projekts maßgeblich beteiligt.</w:t>
      </w:r>
    </w:p>
    <w:p>
      <w:pPr>
        <w:pStyle w:val="BodyText"/>
        <w:numPr>
          <w:ilvl w:val="0"/>
          <w:numId w:val="2"/>
        </w:numPr>
        <w:bidi w:val="0"/>
        <w:spacing w:lineRule="auto" w:line="240" w:before="0" w:after="0"/>
        <w:jc w:val="start"/>
        <w:rPr>
          <w:b w:val="false"/>
          <w:bCs w:val="false"/>
          <w:color w:val="auto"/>
        </w:rPr>
      </w:pPr>
      <w:r>
        <w:rPr>
          <w:b w:val="false"/>
          <w:bCs w:val="false"/>
          <w:color w:val="auto"/>
        </w:rPr>
        <w:t>Mitgliedsbeiträge AFRIGOH Deutschland e.V.</w:t>
      </w:r>
    </w:p>
    <w:p>
      <w:pPr>
        <w:pStyle w:val="BodyText"/>
        <w:numPr>
          <w:ilvl w:val="0"/>
          <w:numId w:val="2"/>
        </w:numPr>
        <w:bidi w:val="0"/>
        <w:spacing w:lineRule="auto" w:line="240" w:before="0" w:after="0"/>
        <w:jc w:val="start"/>
        <w:rPr>
          <w:b w:val="false"/>
          <w:bCs w:val="false"/>
          <w:color w:val="auto"/>
        </w:rPr>
      </w:pPr>
      <w:r>
        <w:rPr>
          <w:b w:val="false"/>
          <w:bCs w:val="false"/>
          <w:color w:val="auto"/>
        </w:rPr>
        <w:t>Katholische Pfarrei St. Maria, Hamburg</w:t>
      </w:r>
    </w:p>
    <w:p>
      <w:pPr>
        <w:pStyle w:val="BodyText"/>
        <w:numPr>
          <w:ilvl w:val="0"/>
          <w:numId w:val="2"/>
        </w:numPr>
        <w:bidi w:val="0"/>
        <w:spacing w:lineRule="auto" w:line="240" w:before="0" w:after="0"/>
        <w:jc w:val="start"/>
        <w:rPr>
          <w:b w:val="false"/>
          <w:bCs w:val="false"/>
          <w:color w:val="auto"/>
        </w:rPr>
      </w:pPr>
      <w:r>
        <w:rPr>
          <w:b w:val="false"/>
          <w:bCs w:val="false"/>
          <w:color w:val="auto"/>
        </w:rPr>
        <w:t>HASPA Stiftung, Hamburg</w:t>
      </w:r>
    </w:p>
    <w:p>
      <w:pPr>
        <w:pStyle w:val="BodyText"/>
        <w:numPr>
          <w:ilvl w:val="0"/>
          <w:numId w:val="2"/>
        </w:numPr>
        <w:bidi w:val="0"/>
        <w:spacing w:lineRule="auto" w:line="240" w:before="0" w:after="0"/>
        <w:jc w:val="start"/>
        <w:rPr>
          <w:b w:val="false"/>
          <w:bCs w:val="false"/>
          <w:color w:val="auto"/>
        </w:rPr>
      </w:pPr>
      <w:r>
        <w:rPr>
          <w:b w:val="false"/>
          <w:bCs w:val="false"/>
          <w:color w:val="auto"/>
        </w:rPr>
        <w:t>EWS Elektrowerke Schönau</w:t>
      </w:r>
    </w:p>
    <w:p>
      <w:pPr>
        <w:pStyle w:val="BodyText"/>
        <w:numPr>
          <w:ilvl w:val="0"/>
          <w:numId w:val="2"/>
        </w:numPr>
        <w:bidi w:val="0"/>
        <w:spacing w:lineRule="auto" w:line="240" w:before="0" w:after="0"/>
        <w:jc w:val="start"/>
        <w:rPr/>
      </w:pPr>
      <w:r>
        <w:rPr/>
        <w:t>KSB Frankental</w:t>
      </w:r>
    </w:p>
    <w:p>
      <w:pPr>
        <w:pStyle w:val="BodyText"/>
        <w:numPr>
          <w:ilvl w:val="0"/>
          <w:numId w:val="2"/>
        </w:numPr>
        <w:bidi w:val="0"/>
        <w:spacing w:lineRule="auto" w:line="240" w:before="0" w:after="0"/>
        <w:jc w:val="start"/>
        <w:rPr/>
      </w:pPr>
      <w:r>
        <w:rPr/>
        <w:t>Crossroads Foundation</w:t>
      </w:r>
    </w:p>
    <w:p>
      <w:pPr>
        <w:pStyle w:val="BodyText"/>
        <w:numPr>
          <w:ilvl w:val="0"/>
          <w:numId w:val="2"/>
        </w:numPr>
        <w:bidi w:val="0"/>
        <w:spacing w:lineRule="auto" w:line="240" w:before="0" w:after="0"/>
        <w:jc w:val="start"/>
        <w:rPr/>
      </w:pPr>
      <w:r>
        <w:rPr/>
        <w:t>Henkel, Düssseldorf</w:t>
      </w:r>
    </w:p>
    <w:p>
      <w:pPr>
        <w:pStyle w:val="BodyText"/>
        <w:numPr>
          <w:ilvl w:val="0"/>
          <w:numId w:val="2"/>
        </w:numPr>
        <w:bidi w:val="0"/>
        <w:spacing w:lineRule="auto" w:line="240" w:before="0" w:after="0"/>
        <w:jc w:val="start"/>
        <w:rPr/>
      </w:pPr>
      <w:r>
        <w:rPr/>
        <w:t>Porticus, Düsseldorf</w:t>
      </w:r>
    </w:p>
    <w:p>
      <w:pPr>
        <w:pStyle w:val="BodyText"/>
        <w:numPr>
          <w:ilvl w:val="0"/>
          <w:numId w:val="2"/>
        </w:numPr>
        <w:bidi w:val="0"/>
        <w:spacing w:lineRule="auto" w:line="240" w:before="0" w:after="0"/>
        <w:jc w:val="start"/>
        <w:rPr/>
      </w:pPr>
      <w:r>
        <w:rPr/>
        <w:t>Schmitz-Stiftung, Düsseldorf, Verwalterin öffentlicher Mittel</w:t>
      </w:r>
    </w:p>
    <w:p>
      <w:pPr>
        <w:pStyle w:val="BodyText"/>
        <w:numPr>
          <w:ilvl w:val="0"/>
          <w:numId w:val="2"/>
        </w:numPr>
        <w:bidi w:val="0"/>
        <w:spacing w:lineRule="auto" w:line="240" w:before="0" w:after="0"/>
        <w:jc w:val="start"/>
        <w:rPr/>
      </w:pPr>
      <w:r>
        <w:rPr/>
        <w:t>viele, nicht-genannte Spender</w:t>
      </w:r>
    </w:p>
    <w:p>
      <w:pPr>
        <w:pStyle w:val="BodyText"/>
        <w:numPr>
          <w:ilvl w:val="0"/>
          <w:numId w:val="0"/>
        </w:numPr>
        <w:bidi w:val="0"/>
        <w:spacing w:lineRule="auto" w:line="240" w:before="0" w:after="0"/>
        <w:ind w:hanging="0" w:start="720"/>
        <w:jc w:val="start"/>
        <w:rPr>
          <w:color w:val="auto"/>
        </w:rPr>
      </w:pPr>
      <w:r>
        <w:rPr>
          <w:color w:val="auto"/>
        </w:rPr>
      </w:r>
    </w:p>
    <w:p>
      <w:pPr>
        <w:pStyle w:val="BodyText"/>
        <w:bidi w:val="0"/>
        <w:spacing w:lineRule="auto" w:line="240" w:before="0" w:after="0"/>
        <w:ind w:hanging="0" w:start="0" w:end="0"/>
        <w:jc w:val="start"/>
        <w:rPr>
          <w:b w:val="false"/>
          <w:bCs w:val="false"/>
        </w:rPr>
      </w:pPr>
      <w:r>
        <w:rPr>
          <w:b w:val="false"/>
          <w:bCs w:val="false"/>
        </w:rPr>
        <w:t>Durch vorgenannte Zuwendungen konnten im Laufe von sechs Jahren jährlich ca. 80.000 € in das Projekt nach Nigeria transferiert werden.</w:t>
      </w:r>
    </w:p>
    <w:p>
      <w:pPr>
        <w:pStyle w:val="BodyText"/>
        <w:bidi w:val="0"/>
        <w:spacing w:lineRule="auto" w:line="240" w:before="0" w:after="0"/>
        <w:ind w:hanging="0" w:start="0" w:end="0"/>
        <w:jc w:val="start"/>
        <w:rPr>
          <w:b/>
          <w:bCs/>
          <w:color w:val="auto"/>
        </w:rPr>
      </w:pPr>
      <w:r>
        <w:rPr>
          <w:b/>
          <w:bCs/>
          <w:color w:val="auto"/>
        </w:rPr>
      </w:r>
    </w:p>
    <w:p>
      <w:pPr>
        <w:pStyle w:val="BodyText"/>
        <w:bidi w:val="0"/>
        <w:spacing w:lineRule="auto" w:line="240" w:before="0" w:after="0"/>
        <w:ind w:hanging="0" w:start="0" w:end="0"/>
        <w:jc w:val="start"/>
        <w:rPr>
          <w:b/>
          <w:bCs/>
          <w:color w:val="auto"/>
        </w:rPr>
      </w:pPr>
      <w:r>
        <w:rPr>
          <w:b/>
          <w:bCs/>
          <w:color w:val="auto"/>
        </w:rPr>
        <w:t>Öffentliche Mittel</w:t>
      </w:r>
    </w:p>
    <w:p>
      <w:pPr>
        <w:pStyle w:val="BodyText"/>
        <w:bidi w:val="0"/>
        <w:spacing w:lineRule="auto" w:line="240" w:before="0" w:after="0"/>
        <w:ind w:hanging="0" w:start="0" w:end="0"/>
        <w:jc w:val="both"/>
        <w:rPr/>
      </w:pPr>
      <w:r>
        <w:rPr>
          <w:color w:val="auto"/>
        </w:rPr>
        <w:t xml:space="preserve">Jedoch war das ganze Projekt bis dahin von regelmäßigen materiellen Zuwendungen aus Hamburg abhängig. Deshalb wurde das Projekt als Social Business </w:t>
      </w:r>
      <w:r>
        <w:rPr>
          <w:color w:val="auto"/>
        </w:rPr>
        <w:t>konzipiert</w:t>
      </w:r>
      <w:r>
        <w:rPr>
          <w:color w:val="auto"/>
        </w:rPr>
        <w:t>. Das Ziel war es dann, Wasser so aufzubereiten, dass es in geeigneten Gebinden verkauft werden konnte. Wunsch war es, durch den Verkaufserlös die bisherigen Arbeitsplätze und noch weitere finanzieren zu können. Dazu plante man eine Abfüllfabrik mit der Wasserbeutel und Wasserflaschen gefüllt und zu Markt gebrachte werden sollten. Als eine Finanzquelle um, diese Fabrik zu errichtn wurde das deutsche Ministerium für Wirtschaftliche Entwickliung und Zusammenarbeit (BMZ) ausgelotet. Das BMZ bedient sich der Schmitz-Stiftung mit dem „EZ Kleinprojektefonds“, welche öffentliche Gelder in den sukzessiven Stufen 10.000€, 25.000€ und 50.000€ fördert. Dabei wurden jeweils 75% der Projektkosten übernommen, 25% steuerte der Verein zu aus „Eigenmitteln“ bei.</w:t>
      </w:r>
    </w:p>
    <w:p>
      <w:pPr>
        <w:pStyle w:val="BodyText"/>
        <w:bidi w:val="0"/>
        <w:spacing w:lineRule="auto" w:line="240" w:before="0" w:after="0"/>
        <w:ind w:hanging="0" w:start="0" w:end="0"/>
        <w:jc w:val="both"/>
        <w:rPr>
          <w:b/>
          <w:bCs/>
        </w:rPr>
      </w:pPr>
      <w:r>
        <w:rPr>
          <w:b/>
          <w:bCs/>
        </w:rPr>
      </w:r>
    </w:p>
    <w:p>
      <w:pPr>
        <w:pStyle w:val="BodyText"/>
        <w:bidi w:val="0"/>
        <w:spacing w:lineRule="auto" w:line="240" w:before="0" w:after="0"/>
        <w:jc w:val="start"/>
        <w:rPr>
          <w:b/>
          <w:bCs/>
        </w:rPr>
      </w:pPr>
      <w:r>
        <w:rPr>
          <w:b/>
          <w:bCs/>
        </w:rPr>
        <w:t>Zusammenfassung und Ausblick</w:t>
      </w:r>
    </w:p>
    <w:p>
      <w:pPr>
        <w:pStyle w:val="BodyText"/>
        <w:bidi w:val="0"/>
        <w:spacing w:lineRule="auto" w:line="240" w:before="0" w:after="0"/>
        <w:jc w:val="both"/>
        <w:rPr/>
      </w:pPr>
      <w:r>
        <w:rPr/>
        <w:t xml:space="preserve">Die gestellte Aufgabe, </w:t>
      </w:r>
      <w:r>
        <w:rPr>
          <w:b/>
          <w:bCs/>
          <w:u w:val="single"/>
        </w:rPr>
        <w:t>Hilfe zur Selbsthilfe</w:t>
      </w:r>
      <w:r>
        <w:rPr/>
        <w:t xml:space="preserve"> zu leisten, ist damit in großen Zügen erledigt. Der Geschäftsplan sieht nach der Anlaufphase tatsächlich die Selbstständigkeit vor. Es wurde jedoch damit gerechnet, dass während der Anlaufphase im laufenden Jahr 2026 noch externe Unterstützung für die Mitarbeiter Gehälter erforderlich sein wird.</w:t>
      </w:r>
    </w:p>
    <w:p>
      <w:pPr>
        <w:pStyle w:val="BodyText"/>
        <w:bidi w:val="0"/>
        <w:spacing w:lineRule="auto" w:line="240" w:before="0" w:after="0"/>
        <w:jc w:val="both"/>
        <w:rPr/>
      </w:pPr>
      <w:r>
        <w:rPr/>
      </w:r>
    </w:p>
    <w:p>
      <w:pPr>
        <w:pStyle w:val="BodyText"/>
        <w:bidi w:val="0"/>
        <w:spacing w:lineRule="auto" w:line="240" w:before="0" w:after="0"/>
        <w:jc w:val="both"/>
        <w:rPr/>
      </w:pPr>
      <w:r>
        <w:rPr/>
        <w:t>Der bisherige Vereinsvorstand sieht diese Aufgabe als erledigt an. Zwar sind noch viele lohnende Projekte denkbar.  Jedoch wird dafür eine Nachfolge zu suchen sein.</w:t>
      </w:r>
      <w:r>
        <w:br w:type="page"/>
      </w:r>
    </w:p>
    <w:p>
      <w:pPr>
        <w:pStyle w:val="BodyText"/>
        <w:bidi w:val="0"/>
        <w:spacing w:lineRule="auto" w:line="240" w:before="0" w:after="0"/>
        <w:jc w:val="start"/>
        <w:rPr>
          <w:b/>
          <w:bCs/>
        </w:rPr>
      </w:pPr>
      <w:r>
        <w:rPr>
          <w:b/>
          <w:bCs/>
        </w:rPr>
        <w:t>Weiterführende Literatur</w:t>
      </w:r>
    </w:p>
    <w:p>
      <w:pPr>
        <w:pStyle w:val="BodyText"/>
        <w:numPr>
          <w:ilvl w:val="0"/>
          <w:numId w:val="1"/>
        </w:numPr>
        <w:bidi w:val="0"/>
        <w:spacing w:lineRule="auto" w:line="240" w:before="0" w:after="0"/>
        <w:jc w:val="start"/>
        <w:rPr/>
      </w:pPr>
      <w:r>
        <w:rPr/>
        <w:t>AJ Venter, Biafra Genocide; Verlag Pen &amp; Sword, Barnsley South Yorkshire, England 2018</w:t>
      </w:r>
    </w:p>
    <w:p>
      <w:pPr>
        <w:pStyle w:val="BodyText"/>
        <w:numPr>
          <w:ilvl w:val="0"/>
          <w:numId w:val="1"/>
        </w:numPr>
        <w:bidi w:val="0"/>
        <w:spacing w:lineRule="auto" w:line="240" w:before="0" w:after="0"/>
        <w:jc w:val="start"/>
        <w:rPr/>
      </w:pPr>
      <w:r>
        <w:rPr/>
        <w:t>J.M.G. Le Clézio, Onitcha; (Nobelpreis Literatur 2008, deutsch v. Uli Wittmann) Köln 2008</w:t>
      </w:r>
    </w:p>
    <w:p>
      <w:pPr>
        <w:pStyle w:val="BodyText"/>
        <w:numPr>
          <w:ilvl w:val="0"/>
          <w:numId w:val="1"/>
        </w:numPr>
        <w:bidi w:val="0"/>
        <w:spacing w:lineRule="auto" w:line="240" w:before="0" w:after="0"/>
        <w:jc w:val="start"/>
        <w:rPr/>
      </w:pPr>
      <w:r>
        <w:rPr/>
        <w:t>Barbara Plankensteiner, Benin Geraubte Geschichte; Hamburg 2022</w:t>
      </w:r>
    </w:p>
    <w:p>
      <w:pPr>
        <w:pStyle w:val="BodyText"/>
        <w:numPr>
          <w:ilvl w:val="0"/>
          <w:numId w:val="1"/>
        </w:numPr>
        <w:bidi w:val="0"/>
        <w:spacing w:lineRule="auto" w:line="240" w:before="0" w:after="0"/>
        <w:jc w:val="start"/>
        <w:rPr/>
      </w:pPr>
      <w:r>
        <w:rPr/>
        <w:t>Lotanna Olisaemeka, Socio-Cultural and Religious Conflichts and the Future of Nigeria,</w:t>
      </w:r>
    </w:p>
    <w:p>
      <w:pPr>
        <w:pStyle w:val="BodyText"/>
        <w:numPr>
          <w:ilvl w:val="0"/>
          <w:numId w:val="0"/>
        </w:numPr>
        <w:bidi w:val="0"/>
        <w:spacing w:lineRule="auto" w:line="240" w:before="0" w:after="0"/>
        <w:ind w:hanging="0" w:start="720"/>
        <w:jc w:val="start"/>
        <w:rPr/>
      </w:pPr>
      <w:r>
        <w:rPr>
          <w:color w:val="auto"/>
        </w:rPr>
        <w:t>A Mission for the local Church, Wien 2015, Dissertation an der Vinzenz Pallotti University</w:t>
      </w:r>
    </w:p>
    <w:p>
      <w:pPr>
        <w:pStyle w:val="BodyText"/>
        <w:numPr>
          <w:ilvl w:val="0"/>
          <w:numId w:val="0"/>
        </w:numPr>
        <w:bidi w:val="0"/>
        <w:spacing w:lineRule="auto" w:line="240" w:before="0" w:after="0"/>
        <w:ind w:hanging="0" w:start="720"/>
        <w:jc w:val="start"/>
        <w:rPr>
          <w:color w:val="auto"/>
        </w:rPr>
      </w:pPr>
      <w:r>
        <w:rPr>
          <w:color w:val="auto"/>
        </w:rPr>
      </w:r>
    </w:p>
    <w:p>
      <w:pPr>
        <w:pStyle w:val="BodyText"/>
        <w:bidi w:val="0"/>
        <w:spacing w:lineRule="auto" w:line="240" w:before="0" w:after="0"/>
        <w:jc w:val="start"/>
        <w:rPr>
          <w:color w:val="auto"/>
        </w:rPr>
      </w:pPr>
      <w:r>
        <w:rPr>
          <w:color w:val="auto"/>
        </w:rPr>
      </w:r>
    </w:p>
    <w:p>
      <w:pPr>
        <w:pStyle w:val="BodyText"/>
        <w:bidi w:val="0"/>
        <w:spacing w:lineRule="auto" w:line="240" w:before="0" w:after="0"/>
        <w:jc w:val="start"/>
        <w:rPr>
          <w:b/>
          <w:bCs/>
        </w:rPr>
      </w:pPr>
      <w:r>
        <w:rPr>
          <w:b/>
          <w:bCs/>
          <w:color w:val="auto"/>
        </w:rPr>
        <w:t>Anhang</w:t>
      </w:r>
    </w:p>
    <w:p>
      <w:pPr>
        <w:pStyle w:val="BodyText"/>
        <w:bidi w:val="0"/>
        <w:spacing w:lineRule="auto" w:line="240" w:before="0" w:after="0"/>
        <w:jc w:val="start"/>
        <w:rPr/>
      </w:pPr>
      <w:r>
        <w:rPr>
          <w:b w:val="false"/>
          <w:bCs w:val="false"/>
          <w:color w:val="auto"/>
        </w:rPr>
        <w:t>Als Anhang finden sich alle herausgegeben Fortschrittsberichte in Form von Newslettern, die an alle Spender versendet wurde. Hier findet sich die Überssicht.</w:t>
      </w:r>
    </w:p>
    <w:p>
      <w:pPr>
        <w:pStyle w:val="ListParagraph"/>
        <w:numPr>
          <w:ilvl w:val="0"/>
          <w:numId w:val="3"/>
        </w:numPr>
        <w:bidi w:val="0"/>
        <w:spacing w:before="0" w:after="0"/>
        <w:contextualSpacing/>
        <w:jc w:val="start"/>
        <w:rPr/>
      </w:pPr>
      <w:r>
        <w:rPr>
          <w:b/>
          <w:bCs/>
        </w:rPr>
        <w:t>April 2021</w:t>
      </w:r>
      <w:r>
        <w:rPr/>
        <w:br/>
        <w:t>Inbetriebnahme des Brunnens in Umuoji</w:t>
        <w:br/>
        <w:t>kostenloses Frischwasser für das Dorf</w:t>
        <w:br/>
        <w:t>detaillierter Projektplan</w:t>
        <w:br/>
      </w:r>
    </w:p>
    <w:p>
      <w:pPr>
        <w:pStyle w:val="ListParagraph"/>
        <w:numPr>
          <w:ilvl w:val="0"/>
          <w:numId w:val="4"/>
        </w:numPr>
        <w:bidi w:val="0"/>
        <w:spacing w:before="0" w:after="0"/>
        <w:contextualSpacing/>
        <w:jc w:val="start"/>
        <w:rPr/>
      </w:pPr>
      <w:r>
        <w:rPr>
          <w:b/>
          <w:bCs/>
        </w:rPr>
        <w:t>Reisebericht 2021</w:t>
      </w:r>
      <w:r>
        <w:rPr/>
        <w:br/>
        <w:t xml:space="preserve">schwere Regenzeit </w:t>
        <w:br/>
        <w:t>Instandsetzung der Zufahrt zum Bauplatz mit schwerem Gerät</w:t>
        <w:br/>
        <w:t>Rohbau für Wach- und Empfangsgebäude und Managerbüro</w:t>
        <w:br/>
      </w:r>
    </w:p>
    <w:p>
      <w:pPr>
        <w:pStyle w:val="ListParagraph"/>
        <w:numPr>
          <w:ilvl w:val="0"/>
          <w:numId w:val="4"/>
        </w:numPr>
        <w:bidi w:val="0"/>
        <w:spacing w:before="0" w:after="0"/>
        <w:contextualSpacing/>
        <w:jc w:val="start"/>
        <w:rPr/>
      </w:pPr>
      <w:r>
        <w:rPr>
          <w:b/>
          <w:bCs/>
        </w:rPr>
        <w:t>Bericht über Projektfortschritt Februar 2022</w:t>
      </w:r>
      <w:r>
        <w:rPr/>
        <w:br/>
        <w:t>Corona verstärkt Arbeitslosigkeit, Jugendkriminalität und allgemeine Frustration</w:t>
        <w:br/>
        <w:t xml:space="preserve">AFRIGOH-Projekt als Lichtblick mit 7000l Frischwasser tägl. </w:t>
      </w:r>
    </w:p>
    <w:p>
      <w:pPr>
        <w:pStyle w:val="ListParagraph"/>
        <w:numPr>
          <w:ilvl w:val="0"/>
          <w:numId w:val="0"/>
        </w:numPr>
        <w:bidi w:val="0"/>
        <w:spacing w:before="0" w:after="0"/>
        <w:ind w:hanging="0" w:start="720"/>
        <w:contextualSpacing/>
        <w:jc w:val="start"/>
        <w:rPr/>
      </w:pPr>
      <w:r>
        <w:rPr/>
        <w:t>Aussicht auf Arbeitsplätze</w:t>
        <w:br/>
        <w:t>Fertigstellung Empfangs- und Verwaltungsgebäude</w:t>
      </w:r>
    </w:p>
    <w:p>
      <w:pPr>
        <w:pStyle w:val="ListParagraph"/>
        <w:numPr>
          <w:ilvl w:val="0"/>
          <w:numId w:val="0"/>
        </w:numPr>
        <w:bidi w:val="0"/>
        <w:spacing w:before="0" w:after="0"/>
        <w:ind w:hanging="0" w:start="720"/>
        <w:contextualSpacing/>
        <w:jc w:val="start"/>
        <w:rPr/>
      </w:pPr>
      <w:r>
        <w:rPr/>
      </w:r>
    </w:p>
    <w:p>
      <w:pPr>
        <w:pStyle w:val="ListParagraph"/>
        <w:numPr>
          <w:ilvl w:val="0"/>
          <w:numId w:val="4"/>
        </w:numPr>
        <w:bidi w:val="0"/>
        <w:spacing w:before="0" w:after="0"/>
        <w:contextualSpacing/>
        <w:jc w:val="start"/>
        <w:rPr/>
      </w:pPr>
      <w:r>
        <w:rPr>
          <w:b/>
          <w:bCs/>
        </w:rPr>
        <w:t>Bericht über Projektfortschritt Mai 2022</w:t>
      </w:r>
    </w:p>
    <w:p>
      <w:pPr>
        <w:pStyle w:val="ListParagraph"/>
        <w:bidi w:val="0"/>
        <w:spacing w:before="0" w:after="0"/>
        <w:contextualSpacing/>
        <w:jc w:val="start"/>
        <w:rPr/>
      </w:pPr>
      <w:r>
        <w:rPr/>
        <w:t>Photovoltaikanlage - Spende von Elektrowerke Schönau im Schwarzwald</w:t>
      </w:r>
    </w:p>
    <w:p>
      <w:pPr>
        <w:pStyle w:val="ListParagraph"/>
        <w:bidi w:val="0"/>
        <w:spacing w:before="0" w:after="0"/>
        <w:contextualSpacing/>
        <w:jc w:val="start"/>
        <w:rPr/>
      </w:pPr>
      <w:r>
        <w:rPr/>
        <w:t>Fundamentplatte für das Frauenförderzentrum (CEW Center for Empowerment for Women)</w:t>
      </w:r>
    </w:p>
    <w:p>
      <w:pPr>
        <w:pStyle w:val="ListParagraph"/>
        <w:bidi w:val="0"/>
        <w:spacing w:before="0" w:after="0"/>
        <w:contextualSpacing/>
        <w:jc w:val="start"/>
        <w:rPr/>
      </w:pPr>
      <w:r>
        <w:rPr/>
        <w:t>5 Mitarbeiter für den Betrieb der Anlage und Gemeindeschwester für CEW eingestellt</w:t>
        <w:br/>
      </w:r>
    </w:p>
    <w:p>
      <w:pPr>
        <w:pStyle w:val="ListParagraph"/>
        <w:numPr>
          <w:ilvl w:val="0"/>
          <w:numId w:val="4"/>
        </w:numPr>
        <w:bidi w:val="0"/>
        <w:spacing w:before="0" w:after="0"/>
        <w:contextualSpacing/>
        <w:jc w:val="start"/>
        <w:rPr/>
      </w:pPr>
      <w:r>
        <w:rPr>
          <w:b/>
          <w:bCs/>
        </w:rPr>
        <w:t>Newsletter November 2022</w:t>
      </w:r>
      <w:r>
        <w:rPr/>
        <w:br/>
        <w:t>Rohbau der Wasserfabrik</w:t>
        <w:br/>
        <w:t>CEW zunächst als „Zeltstadt“</w:t>
        <w:br/>
        <w:t>Nigeria – Fest in Paulus Augustinus</w:t>
        <w:br/>
      </w:r>
    </w:p>
    <w:p>
      <w:pPr>
        <w:pStyle w:val="ListParagraph"/>
        <w:numPr>
          <w:ilvl w:val="0"/>
          <w:numId w:val="4"/>
        </w:numPr>
        <w:bidi w:val="0"/>
        <w:spacing w:before="0" w:after="0"/>
        <w:contextualSpacing/>
        <w:jc w:val="start"/>
        <w:rPr/>
      </w:pPr>
      <w:r>
        <w:rPr>
          <w:b/>
          <w:bCs/>
        </w:rPr>
        <w:t>Spendenaufruf Weihnachten 2022</w:t>
      </w:r>
      <w:r>
        <w:rPr/>
        <w:br/>
        <w:t>Phase 1: „Wasser für das Dorf“ abgeschlossen, Phase 2 „Social Business“ begonnen</w:t>
        <w:br/>
        <w:t>Fundament der Wasserfabrik mit Kellerraum fertig</w:t>
        <w:br/>
        <w:t>Ziel ist es bis Ende März 2023 Fertigstellung Gebäude</w:t>
      </w:r>
    </w:p>
    <w:p>
      <w:pPr>
        <w:pStyle w:val="ListParagraph"/>
        <w:numPr>
          <w:ilvl w:val="0"/>
          <w:numId w:val="0"/>
        </w:numPr>
        <w:bidi w:val="0"/>
        <w:spacing w:before="0" w:after="0"/>
        <w:ind w:hanging="0" w:start="720"/>
        <w:contextualSpacing/>
        <w:jc w:val="start"/>
        <w:rPr/>
      </w:pPr>
      <w:r>
        <w:rPr/>
      </w:r>
    </w:p>
    <w:p>
      <w:pPr>
        <w:pStyle w:val="ListParagraph"/>
        <w:numPr>
          <w:ilvl w:val="0"/>
          <w:numId w:val="4"/>
        </w:numPr>
        <w:bidi w:val="0"/>
        <w:spacing w:before="0" w:after="0"/>
        <w:contextualSpacing/>
        <w:jc w:val="start"/>
        <w:rPr/>
      </w:pPr>
      <w:r>
        <w:rPr>
          <w:b/>
          <w:bCs/>
        </w:rPr>
        <w:t>Newsletter März 2023</w:t>
      </w:r>
      <w:r>
        <w:rPr/>
        <w:br/>
        <w:t>CEW führt regelmäßig gutbesuchte Kurse als Hilfe zur Selbsthilfe durch</w:t>
        <w:br/>
        <w:t>Kurse in handwerklichen Fähigkeiten und in Hauswirtschaft und Hygiene</w:t>
      </w:r>
    </w:p>
    <w:p>
      <w:pPr>
        <w:pStyle w:val="ListParagraph"/>
        <w:numPr>
          <w:ilvl w:val="0"/>
          <w:numId w:val="0"/>
        </w:numPr>
        <w:bidi w:val="0"/>
        <w:spacing w:before="0" w:after="0"/>
        <w:ind w:hanging="0" w:start="720"/>
        <w:contextualSpacing/>
        <w:jc w:val="start"/>
        <w:rPr/>
      </w:pPr>
      <w:r>
        <w:rPr/>
      </w:r>
    </w:p>
    <w:p>
      <w:pPr>
        <w:pStyle w:val="ListParagraph"/>
        <w:numPr>
          <w:ilvl w:val="0"/>
          <w:numId w:val="4"/>
        </w:numPr>
        <w:bidi w:val="0"/>
        <w:spacing w:before="0" w:after="0"/>
        <w:contextualSpacing/>
        <w:jc w:val="start"/>
        <w:rPr/>
      </w:pPr>
      <w:r>
        <w:rPr>
          <w:b/>
          <w:bCs/>
        </w:rPr>
        <w:t>Newsletter April 2023</w:t>
      </w:r>
      <w:r>
        <w:rPr/>
        <w:br/>
      </w:r>
      <w:r>
        <w:rPr>
          <w:b w:val="false"/>
          <w:bCs w:val="false"/>
        </w:rPr>
        <w:t>Frühlingsfest in Umuoji</w:t>
      </w:r>
      <w:r>
        <w:rPr/>
        <w:br/>
        <w:t>Vorführung Handtaschenfertigung</w:t>
        <w:br/>
      </w:r>
    </w:p>
    <w:p>
      <w:pPr>
        <w:pStyle w:val="ListParagraph"/>
        <w:numPr>
          <w:ilvl w:val="0"/>
          <w:numId w:val="4"/>
        </w:numPr>
        <w:bidi w:val="0"/>
        <w:spacing w:before="0" w:after="0"/>
        <w:contextualSpacing/>
        <w:jc w:val="start"/>
        <w:rPr/>
      </w:pPr>
      <w:r>
        <w:rPr>
          <w:b/>
          <w:bCs/>
        </w:rPr>
        <w:t>Newsletter Mai 2023</w:t>
      </w:r>
      <w:r>
        <w:rPr/>
        <w:br/>
        <w:t>Baufortschritt: alle Etagen sind errichtet</w:t>
        <w:br/>
        <w:t>CEW wird vom BMZ (Bundesministerium für wirtschaftliche Zusammenarbeit und Entwicklung zu 75% gefördert</w:t>
        <w:br/>
        <w:t>Bilder und Videos auf der Homepage von Afrigoh</w:t>
        <w:br/>
      </w:r>
    </w:p>
    <w:p>
      <w:pPr>
        <w:pStyle w:val="ListParagraph"/>
        <w:numPr>
          <w:ilvl w:val="0"/>
          <w:numId w:val="4"/>
        </w:numPr>
        <w:tabs>
          <w:tab w:val="clear" w:pos="709"/>
          <w:tab w:val="left" w:pos="748" w:leader="none"/>
        </w:tabs>
        <w:bidi w:val="0"/>
        <w:spacing w:before="0" w:after="0"/>
        <w:contextualSpacing/>
        <w:jc w:val="start"/>
        <w:rPr/>
      </w:pPr>
      <w:r>
        <w:rPr>
          <w:b/>
          <w:bCs/>
        </w:rPr>
        <w:t>Newsletter August 2023</w:t>
      </w:r>
      <w:r>
        <w:rPr/>
        <w:br/>
        <w:t>Baufortschritt: das Dach ist mit Zinkblech regendicht eingedeckt</w:t>
        <w:br/>
        <w:t>Projektpräsentation beim Stromseminar der Elektrowerke Schönau (Spender PV-Anlage)</w:t>
        <w:br/>
        <w:t>Afrigoh auf Instagram beim Erzbistum Hamburg</w:t>
        <w:br/>
      </w:r>
    </w:p>
    <w:p>
      <w:pPr>
        <w:pStyle w:val="ListParagraph"/>
        <w:numPr>
          <w:ilvl w:val="0"/>
          <w:numId w:val="4"/>
        </w:numPr>
        <w:bidi w:val="0"/>
        <w:spacing w:before="0" w:after="0"/>
        <w:contextualSpacing/>
        <w:jc w:val="start"/>
        <w:rPr/>
      </w:pPr>
      <w:r>
        <w:rPr>
          <w:b/>
          <w:bCs/>
        </w:rPr>
        <w:t>Newsletter Dezember 2023</w:t>
      </w:r>
      <w:r>
        <w:rPr/>
        <w:br/>
        <w:t>Baufortschritt: Fenster, Türen und Fliesen sind Installiert</w:t>
        <w:br/>
        <w:t>Die Räumlichkeiten der Wasserfabrik entsprechen den vorgaben der Gesundheitsbehörde</w:t>
        <w:br/>
        <w:t>zwei Zivildienstleistende unterstützen vor Ort</w:t>
        <w:br/>
      </w:r>
    </w:p>
    <w:p>
      <w:pPr>
        <w:pStyle w:val="ListParagraph"/>
        <w:numPr>
          <w:ilvl w:val="0"/>
          <w:numId w:val="4"/>
        </w:numPr>
        <w:bidi w:val="0"/>
        <w:spacing w:before="0" w:after="0"/>
        <w:contextualSpacing/>
        <w:jc w:val="start"/>
        <w:rPr/>
      </w:pPr>
      <w:r>
        <w:rPr>
          <w:b/>
          <w:bCs/>
        </w:rPr>
        <w:t>Newsletter September 2024</w:t>
      </w:r>
      <w:r>
        <w:rPr/>
        <w:br/>
        <w:t>Probelauf der Fertigungsstraße für Beutelwasser steht bevor</w:t>
        <w:br/>
        <w:t>Spendenaufruf für Proben, Inspektionen und 6 Monate Gehälter</w:t>
        <w:br/>
        <w:t>Diverse Herausforderungen und Rückschläge</w:t>
        <w:br/>
      </w:r>
    </w:p>
    <w:p>
      <w:pPr>
        <w:pStyle w:val="ListParagraph"/>
        <w:numPr>
          <w:ilvl w:val="0"/>
          <w:numId w:val="4"/>
        </w:numPr>
        <w:bidi w:val="0"/>
        <w:spacing w:before="0" w:after="0"/>
        <w:contextualSpacing/>
        <w:jc w:val="start"/>
        <w:rPr/>
      </w:pPr>
      <w:r>
        <w:rPr>
          <w:b/>
          <w:bCs/>
        </w:rPr>
        <w:t>Newsletter Weihnachten 2024</w:t>
      </w:r>
      <w:r>
        <w:rPr/>
        <w:br/>
        <w:t>Schneller Ersatz und Einbau der defekten Brunnenpumpe</w:t>
        <w:br/>
        <w:t>Förderzusage BMZ für Fertigungsstraße Flaschenwasser</w:t>
        <w:br/>
        <w:t>Spendenaufruf für Löhne und Logistik, da 2025 noch keine Wirtschaftlichkeit</w:t>
        <w:br/>
      </w:r>
    </w:p>
    <w:p>
      <w:pPr>
        <w:pStyle w:val="ListParagraph"/>
        <w:numPr>
          <w:ilvl w:val="0"/>
          <w:numId w:val="4"/>
        </w:numPr>
        <w:bidi w:val="0"/>
        <w:spacing w:before="0" w:after="0"/>
        <w:contextualSpacing/>
        <w:jc w:val="start"/>
        <w:rPr/>
      </w:pPr>
      <w:r>
        <w:rPr>
          <w:b/>
          <w:bCs/>
        </w:rPr>
        <w:t>Newsletter März 2025</w:t>
      </w:r>
      <w:r>
        <w:rPr/>
        <w:br/>
        <w:t>Fertigungsanlagen für abgepacktes Trinkwasser sind fertig - der Pilot-Betrieb ist erfolgt</w:t>
        <w:br/>
        <w:t>Fertigungsfreigabe durch Gesundheitsbehörde NAFDEC steht aus und verzögert sich</w:t>
        <w:br/>
        <w:t>Ergänzung des Frauenförderzentrums durch Bibliothek mit  internationalen Kinderbüchern</w:t>
        <w:br/>
        <w:t xml:space="preserve">Vier neue Hochschulabsolventen, die ihren einjährigen Pflicht – Zivildienst leisten </w:t>
        <w:br/>
      </w:r>
    </w:p>
    <w:p>
      <w:pPr>
        <w:pStyle w:val="ListParagraph"/>
        <w:numPr>
          <w:ilvl w:val="0"/>
          <w:numId w:val="4"/>
        </w:numPr>
        <w:bidi w:val="0"/>
        <w:spacing w:before="0" w:after="0"/>
        <w:contextualSpacing/>
        <w:jc w:val="start"/>
        <w:rPr/>
      </w:pPr>
      <w:r>
        <w:rPr>
          <w:b/>
          <w:bCs/>
        </w:rPr>
        <w:t>Newsletter Juli 2025</w:t>
      </w:r>
      <w:r>
        <w:rPr/>
        <w:br/>
        <w:t>Verkaufsfähige Produktmuster sind zur Gesundheitsprüfung eingereicht</w:t>
        <w:br/>
        <w:t>Primäres Ziel des Projektes ist erreicht</w:t>
        <w:br/>
        <w:t>Ankündigung Benefizkonzert am 9.11.2025  in der Alfred-Schnittke Akademie</w:t>
        <w:br/>
      </w:r>
    </w:p>
    <w:p>
      <w:pPr>
        <w:pStyle w:val="ListParagraph"/>
        <w:numPr>
          <w:ilvl w:val="0"/>
          <w:numId w:val="4"/>
        </w:numPr>
        <w:bidi w:val="0"/>
        <w:spacing w:before="0" w:after="0"/>
        <w:contextualSpacing/>
        <w:jc w:val="start"/>
        <w:rPr/>
      </w:pPr>
      <w:r>
        <w:rPr>
          <w:b/>
          <w:bCs/>
        </w:rPr>
        <w:t>Newsletter Oktober 2025</w:t>
      </w:r>
      <w:r>
        <w:rPr/>
        <w:br/>
        <w:t>Produktionsgenehmigung liegt vor!</w:t>
        <w:br/>
        <w:t>Der langersehnte Code, zu drucken auf allen Wasserprodukten der Fabrik, ist nun zugeteilt</w:t>
        <w:br/>
        <w:t>Ankündigung Matinee Hans-Jürgen Mende und Philipp Schmid mit „Wir Zwei“ am 9.11.2025</w:t>
        <w:br/>
      </w:r>
    </w:p>
    <w:p>
      <w:pPr>
        <w:pStyle w:val="ListParagraph"/>
        <w:numPr>
          <w:ilvl w:val="0"/>
          <w:numId w:val="4"/>
        </w:numPr>
        <w:bidi w:val="0"/>
        <w:spacing w:before="0" w:after="0"/>
        <w:contextualSpacing/>
        <w:jc w:val="start"/>
        <w:rPr/>
      </w:pPr>
      <w:r>
        <w:rPr>
          <w:b/>
          <w:bCs/>
        </w:rPr>
        <w:t>Newsletter Juli 2026</w:t>
      </w:r>
      <w:r>
        <w:rPr/>
        <w:br/>
        <w:t>Verdopplung der Leistungsfähigkeit der PV – Anlage</w:t>
        <w:br/>
        <w:t xml:space="preserve">Umschulung der Mitarbeiter der Beutel-Fertigungsanlage </w:t>
      </w:r>
    </w:p>
    <w:p>
      <w:pPr>
        <w:pStyle w:val="ListParagraph"/>
        <w:numPr>
          <w:ilvl w:val="0"/>
          <w:numId w:val="0"/>
        </w:numPr>
        <w:bidi w:val="0"/>
        <w:spacing w:before="0" w:after="0"/>
        <w:ind w:hanging="0" w:start="720"/>
        <w:contextualSpacing/>
        <w:jc w:val="start"/>
        <w:rPr/>
      </w:pPr>
      <w:r>
        <w:rPr/>
        <w:t xml:space="preserve">Anlauf der Flaschen-Abfüllanlage </w:t>
        <w:br/>
        <w:t>6 Zivildienstleistende auf dem Campus</w:t>
        <w:br/>
      </w:r>
    </w:p>
    <w:sectPr>
      <w:headerReference w:type="even" r:id="rId2"/>
      <w:headerReference w:type="default" r:id="rId3"/>
      <w:footerReference w:type="even" r:id="rId4"/>
      <w:footerReference w:type="default" r:id="rId5"/>
      <w:type w:val="nextPage"/>
      <w:pgSz w:w="11906" w:h="16838"/>
      <w:pgMar w:left="1134" w:right="1134" w:gutter="0" w:header="1134" w:top="1831" w:footer="340" w:bottom="856"/>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Symbol">
    <w:charset w:val="01"/>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r>
      <w:rPr>
        <w:sz w:val="20"/>
        <w:szCs w:val="20"/>
      </w:rPr>
      <w:t xml:space="preserve">  </w:t>
    </w:r>
    <w:r>
      <w:rPr>
        <w:sz w:val="20"/>
        <w:szCs w:val="20"/>
      </w:rPr>
      <w:t xml:space="preserve">Wasser und Social Business Umuoji, Anambra State Nigeria  Abschlussbericht 17.09.2026                             Seite </w:t>
    </w:r>
    <w:r>
      <w:rPr>
        <w:sz w:val="20"/>
        <w:szCs w:val="20"/>
      </w:rPr>
      <w:fldChar w:fldCharType="begin"/>
    </w:r>
    <w:r>
      <w:rPr>
        <w:sz w:val="20"/>
        <w:szCs w:val="20"/>
      </w:rPr>
      <w:instrText xml:space="preserve"> PAGE </w:instrText>
    </w:r>
    <w:r>
      <w:rPr>
        <w:sz w:val="20"/>
        <w:szCs w:val="20"/>
      </w:rPr>
      <w:fldChar w:fldCharType="separate"/>
    </w:r>
    <w:r>
      <w:rPr>
        <w:sz w:val="20"/>
        <w:szCs w:val="20"/>
      </w:rPr>
      <w:t>4</w:t>
    </w:r>
    <w:r>
      <w:rPr>
        <w:sz w:val="20"/>
        <w:szCs w:val="20"/>
      </w:rPr>
      <w:fldChar w:fldCharType="end"/>
    </w:r>
    <w:r>
      <w:rPr>
        <w:sz w:val="20"/>
        <w:szCs w:val="20"/>
      </w:rPr>
      <w:t xml:space="preserve"> / </w:t>
    </w:r>
    <w:r>
      <w:rPr>
        <w:sz w:val="20"/>
        <w:szCs w:val="20"/>
      </w:rPr>
      <w:fldChar w:fldCharType="begin"/>
    </w:r>
    <w:r>
      <w:rPr>
        <w:sz w:val="20"/>
        <w:szCs w:val="20"/>
      </w:rPr>
      <w:instrText xml:space="preserve"> NUMPAGES </w:instrText>
    </w:r>
    <w:r>
      <w:rPr>
        <w:sz w:val="20"/>
        <w:szCs w:val="20"/>
      </w:rPr>
      <w:fldChar w:fldCharType="separate"/>
    </w:r>
    <w:r>
      <w:rPr>
        <w:sz w:val="20"/>
        <w:szCs w:val="20"/>
      </w:rPr>
      <w:t>5</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both"/>
      <w:rPr/>
    </w:pPr>
    <w:r>
      <w:rPr>
        <w:sz w:val="20"/>
        <w:szCs w:val="20"/>
      </w:rPr>
      <w:t xml:space="preserve">Abschlussbericht Wasser und Social Business Umuoji, Anambra State Nigeria                Seite </w:t>
    </w:r>
    <w:r>
      <w:rPr>
        <w:sz w:val="20"/>
        <w:szCs w:val="20"/>
      </w:rPr>
      <w:fldChar w:fldCharType="begin"/>
    </w:r>
    <w:r>
      <w:rPr>
        <w:sz w:val="20"/>
        <w:szCs w:val="20"/>
      </w:rPr>
      <w:instrText xml:space="preserve"> PAGE </w:instrText>
    </w:r>
    <w:r>
      <w:rPr>
        <w:sz w:val="20"/>
        <w:szCs w:val="20"/>
      </w:rPr>
      <w:fldChar w:fldCharType="separate"/>
    </w:r>
    <w:r>
      <w:rPr>
        <w:sz w:val="20"/>
        <w:szCs w:val="20"/>
      </w:rPr>
      <w:t>5</w:t>
    </w:r>
    <w:r>
      <w:rPr>
        <w:sz w:val="20"/>
        <w:szCs w:val="20"/>
      </w:rPr>
      <w:fldChar w:fldCharType="end"/>
    </w:r>
    <w:r>
      <w:rPr>
        <w:sz w:val="20"/>
        <w:szCs w:val="20"/>
      </w:rPr>
      <w:t xml:space="preserve"> / </w:t>
    </w:r>
    <w:r>
      <w:rPr>
        <w:sz w:val="20"/>
        <w:szCs w:val="20"/>
      </w:rPr>
      <w:fldChar w:fldCharType="begin"/>
    </w:r>
    <w:r>
      <w:rPr>
        <w:sz w:val="20"/>
        <w:szCs w:val="20"/>
      </w:rPr>
      <w:instrText xml:space="preserve"> NUMPAGES </w:instrText>
    </w:r>
    <w:r>
      <w:rPr>
        <w:sz w:val="20"/>
        <w:szCs w:val="20"/>
      </w:rPr>
      <w:fldChar w:fldCharType="separate"/>
    </w:r>
    <w:r>
      <w:rPr>
        <w:sz w:val="20"/>
        <w:szCs w:val="20"/>
      </w:rPr>
      <w:t>5</w:t>
    </w:r>
    <w:r>
      <w:rPr>
        <w:sz w:val="20"/>
        <w:szCs w:val="2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bidi w:val="0"/>
      <w:spacing w:lineRule="auto" w:line="240" w:before="0" w:after="0"/>
      <w:jc w:val="center"/>
      <w:rPr>
        <w:b/>
        <w:bCs/>
        <w:sz w:val="36"/>
        <w:szCs w:val="36"/>
      </w:rPr>
    </w:pPr>
    <w:r>
      <w:rPr>
        <w:b/>
        <w:bCs/>
        <w:sz w:val="36"/>
        <w:szCs w:val="36"/>
      </w:rPr>
      <w:t>Wasser und Sozial Business Umouji</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bidi w:val="0"/>
      <w:spacing w:lineRule="auto" w:line="240" w:before="0" w:after="0"/>
      <w:jc w:val="center"/>
      <w:rPr>
        <w:b/>
        <w:bCs/>
        <w:sz w:val="36"/>
        <w:szCs w:val="36"/>
      </w:rPr>
    </w:pPr>
    <w:r>
      <w:rPr>
        <w:b/>
        <w:bCs/>
        <w:sz w:val="36"/>
        <w:szCs w:val="36"/>
      </w:rPr>
      <w:t>Wasser und Sozial Business Umouji</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09"/>
  <w:mailMerge>
    <w:mainDocumentType w:val="formLetters"/>
    <w:dataType w:val="textFile"/>
    <w:query w:val="SELECT * FROM Addresses3.dbo.Stammdaten$"/>
  </w:mailMerge>
  <w:autoHyphenation w:val="true"/>
  <w:evenAndOddHeaders/>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de-DE"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SimSun" w:cs="Lucida Sans"/>
      <w:color w:val="auto"/>
      <w:kern w:val="2"/>
      <w:sz w:val="24"/>
      <w:szCs w:val="24"/>
      <w:lang w:val="de-DE" w:eastAsia="zh-CN" w:bidi="hi-IN"/>
    </w:rPr>
  </w:style>
  <w:style w:type="paragraph" w:styleId="Heading1">
    <w:name w:val="Heading 1"/>
    <w:basedOn w:val="Heading"/>
    <w:next w:val="BodyText"/>
    <w:qFormat/>
    <w:pPr>
      <w:spacing w:before="240" w:after="120"/>
      <w:outlineLvl w:val="0"/>
    </w:pPr>
    <w:rPr>
      <w:rFonts w:ascii="Liberation Serif" w:hAnsi="Liberation Serif" w:eastAsia="SimSun" w:cs="Lucida Sans"/>
      <w:b/>
      <w:bCs/>
      <w:sz w:val="48"/>
      <w:szCs w:val="48"/>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PingFang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HeaderandFooter"/>
    <w:pPr>
      <w:suppressLineNumbers/>
    </w:pPr>
    <w:rPr/>
  </w:style>
  <w:style w:type="paragraph" w:styleId="Footer">
    <w:name w:val="Footer"/>
    <w:basedOn w:val="HeaderandFooter"/>
    <w:pPr>
      <w:suppressLineNumbers/>
    </w:pPr>
    <w:rPr/>
  </w:style>
  <w:style w:type="paragraph" w:styleId="ListParagraph">
    <w:name w:val="List Paragraph"/>
    <w:basedOn w:val="Normal"/>
    <w:qFormat/>
    <w:pPr>
      <w:spacing w:before="0" w:after="0"/>
      <w:ind w:start="72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804</TotalTime>
  <Application>LibreOffice/24.2.0.3$MacOSX_X86_64 LibreOffice_project/da48488a73ddd66ea24cf16bbc4f7b9c08e9bea1</Application>
  <AppVersion>15.0000</AppVersion>
  <Pages>4</Pages>
  <Words>1315</Words>
  <Characters>8417</Characters>
  <CharactersWithSpaces>9684</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2026-08-24T19:21:22Z</dcterms:created>
  <dc:creator/>
  <dc:description/>
  <dc:language>de-DE</dc:language>
  <cp:lastModifiedBy/>
  <cp:lastPrinted>2026-08-26T11:32:09Z</cp:lastPrinted>
  <dcterms:modified xsi:type="dcterms:W3CDTF">2026-09-04T16:04:12Z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